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7"/>
        <w:jc w:val="center"/>
        <w:rPr>
          <w:rFonts w:ascii="Arial" w:hAnsi="Arial" w:cs="Arial"/>
          <w:b/>
          <w:bCs/>
          <w:sz w:val="28"/>
          <w:szCs w:val="28"/>
        </w:rPr>
      </w:pPr>
      <w:r>
        <w:rPr>
          <w:rFonts w:hint="eastAsia" w:ascii="Arial" w:hAnsi="Arial" w:cs="Arial"/>
          <w:b/>
          <w:bCs/>
          <w:sz w:val="28"/>
          <w:szCs w:val="28"/>
        </w:rPr>
        <w:t>TDC Expands Video Capabilities with ROE Visual</w:t>
      </w:r>
    </w:p>
    <w:p>
      <w:pPr>
        <w:pStyle w:val="17"/>
        <w:rPr>
          <w:rFonts w:ascii="Arial" w:hAnsi="Arial" w:cs="Arial"/>
          <w:sz w:val="21"/>
          <w:szCs w:val="21"/>
        </w:rPr>
      </w:pPr>
      <w:r>
        <w:rPr>
          <w:rFonts w:ascii="Arial" w:hAnsi="Arial" w:cs="Arial"/>
          <w:b/>
          <w:bCs/>
          <w:sz w:val="21"/>
          <w:szCs w:val="21"/>
        </w:rPr>
        <w:t>Melbourne, Australia</w:t>
      </w:r>
      <w:r>
        <w:rPr>
          <w:rFonts w:hint="eastAsia" w:ascii="Arial" w:hAnsi="Arial" w:cs="Arial"/>
          <w:b/>
          <w:bCs/>
          <w:sz w:val="21"/>
          <w:szCs w:val="21"/>
        </w:rPr>
        <w:t xml:space="preserve"> (</w:t>
      </w:r>
      <w:r>
        <w:rPr>
          <w:rFonts w:ascii="Arial" w:hAnsi="Arial" w:cs="Arial"/>
          <w:b/>
          <w:bCs/>
          <w:sz w:val="21"/>
          <w:szCs w:val="21"/>
        </w:rPr>
        <w:t>September</w:t>
      </w:r>
      <w:r>
        <w:rPr>
          <w:rFonts w:hint="eastAsia" w:ascii="Arial" w:hAnsi="Arial" w:cs="Arial"/>
          <w:b/>
          <w:bCs/>
          <w:sz w:val="21"/>
          <w:szCs w:val="21"/>
        </w:rPr>
        <w:t>, 2024)</w:t>
      </w:r>
      <w:r>
        <w:rPr>
          <w:rFonts w:ascii="Arial" w:hAnsi="Arial" w:cs="Arial"/>
          <w:sz w:val="21"/>
          <w:szCs w:val="21"/>
        </w:rPr>
        <w:t> ROE Visual's Carbon MarkII (CB5MKII) LED panels, widely recognized as the industry standard for large-scale video walls, have recently garnered attention for their outstanding performance at multiple global events. TDC - Technical Direction Company, a trailblazer in the Australian market, has now invested in these cutting-edge panels, further reinforcing their commitment to leading with the latest in video technology.</w:t>
      </w:r>
    </w:p>
    <w:p>
      <w:pPr>
        <w:pStyle w:val="17"/>
        <w:rPr>
          <w:rFonts w:ascii="Arial" w:hAnsi="Arial" w:cs="Arial"/>
          <w:sz w:val="21"/>
          <w:szCs w:val="21"/>
        </w:rPr>
      </w:pPr>
      <w:r>
        <w:rPr>
          <w:rFonts w:ascii="Arial" w:hAnsi="Arial" w:cs="Arial"/>
          <w:sz w:val="21"/>
          <w:szCs w:val="21"/>
        </w:rPr>
        <w:drawing>
          <wp:inline distT="0" distB="0" distL="0" distR="0">
            <wp:extent cx="5669915" cy="2660015"/>
            <wp:effectExtent l="0" t="0" r="0" b="0"/>
            <wp:docPr id="1415368187"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368187" name="Picture 2" descr="A close-up of a logo&#10;&#10;Description automatically generated"/>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69915" cy="2660015"/>
                    </a:xfrm>
                    <a:prstGeom prst="rect">
                      <a:avLst/>
                    </a:prstGeom>
                  </pic:spPr>
                </pic:pic>
              </a:graphicData>
            </a:graphic>
          </wp:inline>
        </w:drawing>
      </w:r>
    </w:p>
    <w:p>
      <w:pPr>
        <w:pStyle w:val="17"/>
        <w:rPr>
          <w:rFonts w:ascii="Arial" w:hAnsi="Arial" w:cs="Arial"/>
          <w:sz w:val="21"/>
          <w:szCs w:val="21"/>
        </w:rPr>
      </w:pPr>
      <w:r>
        <w:rPr>
          <w:rFonts w:ascii="Arial" w:hAnsi="Arial" w:cs="Arial"/>
          <w:sz w:val="21"/>
          <w:szCs w:val="21"/>
        </w:rPr>
        <w:t>TDC, a leading provider of entertainment technology and production services, has solidified its position in the events and entertainment industry by continually expanding its capabilities. From developing a virtual production studio to meet the growing demand for LED volumes to previous investments in ROE Visual’s Black Quartz panels—known for their wind-bracing frame suited for outdoor environments—and the popular Vanish 8T, the team is dedicated to offering the best equipment available. Now, the CB5MKII joins their suite of advanced solutions, further enhancing their ability to deliver superior visual performances.</w:t>
      </w:r>
      <w:r>
        <w:rPr>
          <w:rFonts w:hint="eastAsia" w:ascii="Arial" w:hAnsi="Arial" w:cs="Arial"/>
          <w:sz w:val="21"/>
          <w:szCs w:val="21"/>
        </w:rPr>
        <w:t xml:space="preserve"> </w:t>
      </w:r>
    </w:p>
    <w:p>
      <w:pPr>
        <w:pStyle w:val="17"/>
        <w:rPr>
          <w:rFonts w:ascii="Arial" w:hAnsi="Arial" w:cs="Arial"/>
          <w:sz w:val="21"/>
          <w:szCs w:val="21"/>
        </w:rPr>
      </w:pPr>
      <w:r>
        <w:rPr>
          <w:rFonts w:ascii="Arial" w:hAnsi="Arial" w:cs="Arial"/>
          <w:sz w:val="21"/>
          <w:szCs w:val="21"/>
        </w:rPr>
        <w:t>The CB5MKII, a lightweight LED panel, combines practicality with high performance. With 6000-nit brightness and efficient heat dissipation, it delivers vibrant, stable visuals that captivate both live audiences and online viewers. This investment ensures TDC’s ability to deliver stunning visual experiences across their diverse portfolio of events, from concert tours and corporate gatherings to large-scale exhibitions and theatre productions.</w:t>
      </w:r>
    </w:p>
    <w:p>
      <w:pPr>
        <w:pStyle w:val="17"/>
        <w:rPr>
          <w:rFonts w:ascii="Arial" w:hAnsi="Arial" w:cs="Arial"/>
          <w:sz w:val="21"/>
          <w:szCs w:val="21"/>
        </w:rPr>
      </w:pPr>
    </w:p>
    <w:p>
      <w:pPr>
        <w:pStyle w:val="17"/>
        <w:rPr>
          <w:rFonts w:ascii="Arial" w:hAnsi="Arial" w:cs="Arial"/>
          <w:sz w:val="21"/>
          <w:szCs w:val="21"/>
        </w:rPr>
      </w:pPr>
    </w:p>
    <w:p>
      <w:pPr>
        <w:pStyle w:val="17"/>
        <w:rPr>
          <w:rFonts w:ascii="Arial" w:hAnsi="Arial" w:cs="Arial"/>
          <w:sz w:val="21"/>
          <w:szCs w:val="21"/>
        </w:rPr>
      </w:pPr>
    </w:p>
    <w:p>
      <w:pPr>
        <w:pStyle w:val="17"/>
        <w:rPr>
          <w:rFonts w:ascii="Arial" w:hAnsi="Arial" w:cs="Arial"/>
          <w:sz w:val="21"/>
          <w:szCs w:val="21"/>
        </w:rPr>
      </w:pPr>
      <w:r>
        <w:rPr>
          <w:rFonts w:ascii="Arial" w:hAnsi="Arial" w:cs="Arial"/>
          <w:sz w:val="21"/>
          <w:szCs w:val="21"/>
        </w:rPr>
        <w:drawing>
          <wp:inline distT="0" distB="0" distL="0" distR="0">
            <wp:extent cx="5669915" cy="3185795"/>
            <wp:effectExtent l="0" t="0" r="0" b="1905"/>
            <wp:docPr id="1053900005" name="Picture 3" descr="A large screen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900005" name="Picture 3" descr="A large screen in a room&#10;&#10;Description automatically generated"/>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69915" cy="3185795"/>
                    </a:xfrm>
                    <a:prstGeom prst="rect">
                      <a:avLst/>
                    </a:prstGeom>
                  </pic:spPr>
                </pic:pic>
              </a:graphicData>
            </a:graphic>
          </wp:inline>
        </w:drawing>
      </w:r>
    </w:p>
    <w:p>
      <w:pPr>
        <w:rPr>
          <w:rFonts w:ascii="Arial" w:hAnsi="Arial" w:cs="Arial"/>
          <w:kern w:val="0"/>
          <w:szCs w:val="21"/>
        </w:rPr>
      </w:pPr>
      <w:r>
        <w:rPr>
          <w:rFonts w:hint="default" w:ascii="Arial" w:hAnsi="Arial" w:cs="Arial"/>
          <w:kern w:val="0"/>
          <w:szCs w:val="21"/>
        </w:rPr>
        <w:t>“</w:t>
      </w:r>
      <w:r>
        <w:rPr>
          <w:rFonts w:hint="eastAsia" w:ascii="Arial" w:hAnsi="Arial" w:cs="Arial"/>
          <w:kern w:val="0"/>
          <w:szCs w:val="21"/>
        </w:rPr>
        <w:t xml:space="preserve">At TDC, we are dedicated to creating awe-inspiring moments that redefine the realm of entertainment production. Technology is at the heart of everything we do, and our decade-long partnership with ROE Visual, together with the collaborative relationships we've cultivated over four decades, remains pivotal to our success and that of our clients." </w:t>
      </w:r>
      <w:r>
        <w:rPr>
          <w:rFonts w:ascii="Arial" w:hAnsi="Arial" w:cs="Arial"/>
          <w:szCs w:val="21"/>
        </w:rPr>
        <w:t>says Michael Hassett, CEO and Founder at TDC.</w:t>
      </w:r>
    </w:p>
    <w:p>
      <w:pPr>
        <w:pStyle w:val="17"/>
        <w:rPr>
          <w:rFonts w:ascii="Arial" w:hAnsi="Arial" w:cs="Arial"/>
          <w:sz w:val="21"/>
          <w:szCs w:val="21"/>
        </w:rPr>
      </w:pPr>
      <w:r>
        <w:rPr>
          <w:rFonts w:ascii="Arial" w:hAnsi="Arial" w:cs="Arial"/>
          <w:sz w:val="21"/>
          <w:szCs w:val="21"/>
        </w:rPr>
        <w:t>Grace Kuo, Sales Director at ROE Visual, shared, “We’ve had the pleasure of working closely with TDC for many years, and it’s always inspiring to see how they push the industry forward. Their dedication to excellence, creativity, and innovation is something we truly admire. This investment in the CB5MKII panels is a testament to their ongoing pursuit of the best technology, and we’re thrilled to be a part of their journey in creating unforgettable experiences.”</w:t>
      </w:r>
    </w:p>
    <w:p>
      <w:pPr>
        <w:pStyle w:val="17"/>
        <w:rPr>
          <w:rFonts w:ascii="Arial" w:hAnsi="Arial" w:cs="Arial"/>
          <w:sz w:val="21"/>
          <w:szCs w:val="21"/>
        </w:rPr>
      </w:pPr>
      <w:r>
        <w:rPr>
          <w:rFonts w:hint="eastAsia" w:ascii="Arial" w:hAnsi="Arial" w:cs="Arial"/>
          <w:sz w:val="21"/>
          <w:szCs w:val="21"/>
        </w:rPr>
        <w:t xml:space="preserve">Through their enduring partnership with ROE Visual, TDC has showcased their products </w:t>
      </w:r>
      <w:r>
        <w:rPr>
          <w:rFonts w:ascii="Arial" w:hAnsi="Arial" w:cs="Arial"/>
          <w:sz w:val="21"/>
          <w:szCs w:val="21"/>
        </w:rPr>
        <w:t>across a multitude of projects</w:t>
      </w:r>
      <w:r>
        <w:rPr>
          <w:rFonts w:hint="eastAsia" w:ascii="Arial" w:hAnsi="Arial" w:cs="Arial"/>
          <w:sz w:val="21"/>
          <w:szCs w:val="21"/>
        </w:rPr>
        <w:t xml:space="preserve">. </w:t>
      </w:r>
      <w:r>
        <w:rPr>
          <w:rFonts w:ascii="Arial" w:hAnsi="Arial" w:cs="Arial"/>
          <w:sz w:val="21"/>
          <w:szCs w:val="21"/>
        </w:rPr>
        <w:t>With the addition of the CB5MKII, TDC is positioned to further elevate its offerings, maintaining its place at the cutting edge of video production in Australia and beyond.</w:t>
      </w:r>
      <w:r>
        <w:rPr>
          <w:rFonts w:hint="eastAsia" w:ascii="Arial" w:hAnsi="Arial" w:cs="Arial"/>
          <w:sz w:val="21"/>
          <w:szCs w:val="21"/>
        </w:rPr>
        <w:t xml:space="preserve"> </w:t>
      </w:r>
    </w:p>
    <w:p>
      <w:pPr>
        <w:pStyle w:val="38"/>
        <w:ind w:firstLine="0" w:firstLineChars="0"/>
        <w:rPr>
          <w:rFonts w:ascii="Arial" w:hAnsi="Arial" w:cs="Arial"/>
          <w:b/>
          <w:bCs/>
          <w:szCs w:val="21"/>
        </w:rPr>
      </w:pPr>
    </w:p>
    <w:p>
      <w:pPr>
        <w:pStyle w:val="38"/>
        <w:ind w:firstLine="0" w:firstLineChars="0"/>
        <w:rPr>
          <w:rFonts w:ascii="Arial" w:hAnsi="Arial" w:cs="Arial"/>
          <w:b/>
          <w:bCs/>
          <w:szCs w:val="21"/>
        </w:rPr>
      </w:pPr>
    </w:p>
    <w:p>
      <w:pPr>
        <w:pStyle w:val="38"/>
        <w:ind w:firstLine="0" w:firstLineChars="0"/>
        <w:rPr>
          <w:rFonts w:ascii="Arial" w:hAnsi="Arial" w:cs="Arial"/>
          <w:b/>
          <w:bCs/>
          <w:szCs w:val="21"/>
        </w:rPr>
      </w:pPr>
    </w:p>
    <w:p>
      <w:pPr>
        <w:pStyle w:val="38"/>
        <w:ind w:firstLine="0" w:firstLineChars="0"/>
        <w:rPr>
          <w:rFonts w:ascii="Arial" w:hAnsi="Arial" w:cs="Arial"/>
          <w:b/>
          <w:bCs/>
          <w:szCs w:val="21"/>
        </w:rPr>
      </w:pPr>
    </w:p>
    <w:p>
      <w:pPr>
        <w:pStyle w:val="38"/>
        <w:ind w:firstLine="0" w:firstLineChars="0"/>
        <w:rPr>
          <w:rFonts w:ascii="Arial" w:hAnsi="Arial" w:cs="Arial"/>
          <w:b/>
          <w:bCs/>
          <w:szCs w:val="21"/>
        </w:rPr>
      </w:pPr>
    </w:p>
    <w:p>
      <w:pPr>
        <w:pStyle w:val="38"/>
        <w:ind w:firstLine="0" w:firstLineChars="0"/>
        <w:rPr>
          <w:rFonts w:ascii="Arial" w:hAnsi="Arial" w:cs="Arial"/>
          <w:b/>
          <w:bCs/>
          <w:szCs w:val="21"/>
        </w:rPr>
      </w:pPr>
    </w:p>
    <w:p>
      <w:pPr>
        <w:pStyle w:val="38"/>
        <w:ind w:firstLine="0" w:firstLineChars="0"/>
        <w:rPr>
          <w:rFonts w:ascii="Arial" w:hAnsi="Arial" w:cs="Arial"/>
          <w:b/>
          <w:bCs/>
          <w:szCs w:val="21"/>
        </w:rPr>
      </w:pPr>
    </w:p>
    <w:p>
      <w:pPr>
        <w:pStyle w:val="38"/>
        <w:ind w:firstLine="0" w:firstLineChars="0"/>
        <w:rPr>
          <w:rFonts w:ascii="Arial" w:hAnsi="Arial" w:cs="Arial"/>
          <w:b/>
          <w:bCs/>
          <w:szCs w:val="21"/>
        </w:rPr>
      </w:pPr>
    </w:p>
    <w:p>
      <w:pPr>
        <w:pStyle w:val="38"/>
        <w:ind w:firstLine="0" w:firstLineChars="0"/>
        <w:rPr>
          <w:rFonts w:ascii="Arial" w:hAnsi="Arial" w:cs="Arial"/>
          <w:b/>
          <w:bCs/>
          <w:szCs w:val="21"/>
        </w:rPr>
      </w:pPr>
    </w:p>
    <w:p>
      <w:pPr>
        <w:pStyle w:val="38"/>
        <w:ind w:firstLine="0" w:firstLineChars="0"/>
        <w:rPr>
          <w:rFonts w:ascii="Arial" w:hAnsi="Arial" w:cs="Arial"/>
          <w:b/>
          <w:bCs/>
          <w:szCs w:val="21"/>
        </w:rPr>
      </w:pPr>
      <w:r>
        <w:rPr>
          <w:rFonts w:ascii="Arial" w:hAnsi="Arial" w:cs="Arial"/>
          <w:b/>
          <w:bCs/>
          <w:szCs w:val="21"/>
        </w:rPr>
        <w:t xml:space="preserve">More Info: </w:t>
      </w:r>
    </w:p>
    <w:p>
      <w:pPr>
        <w:pStyle w:val="38"/>
        <w:ind w:firstLine="0" w:firstLineChars="0"/>
        <w:rPr>
          <w:rFonts w:hint="default" w:ascii="Arial" w:hAnsi="Arial" w:cs="Arial"/>
          <w:kern w:val="0"/>
          <w:szCs w:val="21"/>
        </w:rPr>
      </w:pPr>
      <w:r>
        <w:rPr>
          <w:rFonts w:ascii="Arial" w:hAnsi="Arial" w:cs="Arial"/>
          <w:szCs w:val="21"/>
        </w:rPr>
        <w:t>Technical Direction Company (TDC):</w:t>
      </w:r>
      <w:r>
        <w:rPr>
          <w:rFonts w:ascii="Arial" w:hAnsi="Arial" w:cs="Arial"/>
          <w:kern w:val="0"/>
          <w:szCs w:val="21"/>
        </w:rPr>
        <w:t xml:space="preserve"> </w:t>
      </w:r>
      <w:r>
        <w:rPr>
          <w:rFonts w:hint="default" w:ascii="Arial" w:hAnsi="Arial" w:cs="Arial"/>
          <w:kern w:val="0"/>
          <w:szCs w:val="21"/>
        </w:rPr>
        <w:fldChar w:fldCharType="begin"/>
      </w:r>
      <w:r>
        <w:rPr>
          <w:rFonts w:hint="default" w:ascii="Arial" w:hAnsi="Arial" w:cs="Arial"/>
          <w:kern w:val="0"/>
          <w:szCs w:val="21"/>
        </w:rPr>
        <w:instrText xml:space="preserve"> HYPERLINK "https://www.tdc.com.au/" </w:instrText>
      </w:r>
      <w:r>
        <w:rPr>
          <w:rFonts w:hint="default" w:ascii="Arial" w:hAnsi="Arial" w:cs="Arial"/>
          <w:kern w:val="0"/>
          <w:szCs w:val="21"/>
        </w:rPr>
        <w:fldChar w:fldCharType="separate"/>
      </w:r>
      <w:r>
        <w:rPr>
          <w:rStyle w:val="16"/>
          <w:rFonts w:hint="default" w:ascii="Arial" w:hAnsi="Arial" w:cs="Arial"/>
          <w:kern w:val="0"/>
          <w:szCs w:val="21"/>
        </w:rPr>
        <w:t>https://www.tdc.com.au/</w:t>
      </w:r>
      <w:r>
        <w:rPr>
          <w:rFonts w:hint="default" w:ascii="Arial" w:hAnsi="Arial" w:cs="Arial"/>
          <w:kern w:val="0"/>
          <w:szCs w:val="21"/>
        </w:rPr>
        <w:fldChar w:fldCharType="end"/>
      </w:r>
    </w:p>
    <w:p>
      <w:pPr>
        <w:pStyle w:val="38"/>
        <w:ind w:firstLine="0" w:firstLineChars="0"/>
        <w:rPr>
          <w:rFonts w:ascii="Arial" w:hAnsi="Arial" w:cs="Arial"/>
          <w:kern w:val="0"/>
          <w:szCs w:val="21"/>
        </w:rPr>
      </w:pPr>
    </w:p>
    <w:p>
      <w:pPr>
        <w:pStyle w:val="38"/>
        <w:ind w:firstLine="0" w:firstLineChars="0"/>
        <w:rPr>
          <w:rFonts w:ascii="Arial" w:hAnsi="Arial" w:cs="Arial"/>
          <w:b/>
          <w:bCs/>
          <w:szCs w:val="21"/>
        </w:rPr>
      </w:pPr>
    </w:p>
    <w:p>
      <w:pPr>
        <w:pStyle w:val="38"/>
        <w:ind w:firstLine="0" w:firstLineChars="0"/>
        <w:rPr>
          <w:rFonts w:ascii="Arial" w:hAnsi="Arial" w:cs="Arial"/>
          <w:szCs w:val="21"/>
        </w:rPr>
      </w:pPr>
      <w:r>
        <w:rPr>
          <w:rFonts w:ascii="Arial" w:hAnsi="Arial" w:cs="Arial"/>
          <w:b/>
          <w:bCs/>
          <w:szCs w:val="21"/>
        </w:rPr>
        <w:t>About ROE Visual:</w:t>
      </w:r>
    </w:p>
    <w:p>
      <w:pPr>
        <w:rPr>
          <w:rFonts w:ascii="Arial" w:hAnsi="Arial" w:cs="Arial"/>
          <w:szCs w:val="21"/>
        </w:rPr>
      </w:pPr>
      <w:r>
        <w:rPr>
          <w:rFonts w:ascii="Arial" w:hAnsi="Arial" w:cs="Arial"/>
          <w:szCs w:val="21"/>
        </w:rPr>
        <w:t>Founded in 2006, ROE Visual set out to make the best LED display platforms. Carefully selected high-end components, the latest technology, in-depth knowledge, and passion go into ROE Visual's LED products. Familiar with the challenges of the market, the company offers the best possible solutions for creatives, designers, and technicians who rely on ROE Visual's LED products for flawless installation, shoot or performance.</w:t>
      </w:r>
    </w:p>
    <w:p>
      <w:pPr>
        <w:rPr>
          <w:rFonts w:ascii="Arial" w:hAnsi="Arial" w:cs="Arial"/>
          <w:szCs w:val="21"/>
        </w:rPr>
      </w:pPr>
    </w:p>
    <w:p>
      <w:pPr>
        <w:rPr>
          <w:rFonts w:hint="default"/>
        </w:rPr>
      </w:pPr>
      <w:r>
        <w:rPr>
          <w:rFonts w:ascii="Arial" w:hAnsi="Arial" w:cs="Arial"/>
          <w:szCs w:val="21"/>
        </w:rPr>
        <w:t xml:space="preserve">Dedicated to delivering the latest display technology, ROE Visual has a global presence, ensuring exceptional service to over 500 customers in over 90 countries. Headquartered in Shenzhen, China, the company operates globally. For more: </w:t>
      </w:r>
      <w:r>
        <w:rPr>
          <w:rFonts w:hint="default"/>
        </w:rPr>
        <w:fldChar w:fldCharType="begin"/>
      </w:r>
      <w:r>
        <w:rPr>
          <w:rFonts w:hint="default"/>
        </w:rPr>
        <w:instrText xml:space="preserve"> HYPERLINK "https://www.roevisual.com/en/" </w:instrText>
      </w:r>
      <w:r>
        <w:rPr>
          <w:rFonts w:hint="default"/>
        </w:rPr>
        <w:fldChar w:fldCharType="separate"/>
      </w:r>
      <w:r>
        <w:rPr>
          <w:rStyle w:val="16"/>
          <w:rFonts w:hint="default"/>
        </w:rPr>
        <w:t>https://www.roevisual.com/en/</w:t>
      </w:r>
      <w:r>
        <w:rPr>
          <w:rFonts w:hint="default"/>
        </w:rPr>
        <w:fldChar w:fldCharType="end"/>
      </w:r>
    </w:p>
    <w:p>
      <w:pPr>
        <w:rPr>
          <w:rFonts w:hint="default"/>
        </w:rPr>
      </w:pPr>
      <w:bookmarkStart w:id="0" w:name="_GoBack"/>
      <w:bookmarkEnd w:id="0"/>
    </w:p>
    <w:p>
      <w:pPr>
        <w:widowControl/>
        <w:jc w:val="left"/>
        <w:rPr>
          <w:rFonts w:ascii="Arial" w:hAnsi="Arial" w:cs="Arial"/>
          <w:kern w:val="0"/>
          <w:szCs w:val="21"/>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汉仪中黑KW"/>
    <w:panose1 w:val="02010600030101010101"/>
    <w:charset w:val="00"/>
    <w:family w:val="auto"/>
    <w:pitch w:val="default"/>
    <w:sig w:usb0="00000001" w:usb1="080E0000" w:usb2="00000010" w:usb3="00000000" w:csb0="00040000" w:csb1="00000000"/>
  </w:font>
  <w:font w:name="汉仪中黑KW">
    <w:panose1 w:val="00020600040101010101"/>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Hei">
    <w:altName w:val="汉仪中黑KW"/>
    <w:panose1 w:val="02010609060101010101"/>
    <w:charset w:val="86"/>
    <w:family w:val="modern"/>
    <w:pitch w:val="default"/>
    <w:sig w:usb0="00000000" w:usb1="00000000" w:usb2="00000016" w:usb3="00000000" w:csb0="00040001" w:csb1="00000000"/>
  </w:font>
  <w:font w:name="Calibri Light">
    <w:altName w:val="Helvetica Neue"/>
    <w:panose1 w:val="020F0302020204030204"/>
    <w:charset w:val="00"/>
    <w:family w:val="swiss"/>
    <w:pitch w:val="default"/>
    <w:sig w:usb0="00000000" w:usb1="00000000" w:usb2="00000009" w:usb3="00000000" w:csb0="000001FF" w:csb1="00000000"/>
  </w:font>
  <w:font w:name="等线 Light">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00000000" w:usb1="00000000" w:usb2="00000000" w:usb3="00000000" w:csb0="00160000" w:csb1="00000000"/>
  </w:font>
  <w:font w:name="DengXian Light">
    <w:altName w:val="汉仪中等线KW"/>
    <w:panose1 w:val="02010600030101010101"/>
    <w:charset w:val="86"/>
    <w:family w:val="auto"/>
    <w:pitch w:val="default"/>
    <w:sig w:usb0="00000000" w:usb1="00000000" w:usb2="00000016" w:usb3="00000000" w:csb0="0004000F" w:csb1="00000000"/>
  </w:font>
  <w:font w:name="DengXian">
    <w:altName w:val="汉仪中等线KW"/>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6"/>
                              <w:rFonts w:hint="eastAsia"/>
                              <w:sz w:val="18"/>
                              <w:szCs w:val="18"/>
                            </w:rPr>
                            <w:t>roe@roevisual.com</w:t>
                          </w:r>
                          <w:r>
                            <w:rPr>
                              <w:rStyle w:val="16"/>
                              <w:rFonts w:hint="eastAsia"/>
                              <w:sz w:val="18"/>
                              <w:szCs w:val="18"/>
                            </w:rPr>
                            <w:fldChar w:fldCharType="end"/>
                          </w:r>
                        </w:p>
                        <w:p>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BYAAABkcnMvUEsBAhQAFAAAAAgAh07i&#10;QBNCdIzZAAAACgEAAA8AAAAAAAAAAQAgAAAAOAAAAGRycy9kb3ducmV2LnhtbFBLAQIUABQAAAAI&#10;AIdO4kAYdaclDwIAAA4EAAAOAAAAAAAAAAEAIAAAAD4BAABkcnMvZTJvRG9jLnhtbFBLBQYAAAAA&#10;BgAGAFkBAAC/BQAAAAA=&#10;">
              <v:fill on="t" focussize="0,0"/>
              <v:stroke on="f"/>
              <v:imagedata o:title=""/>
              <o:lock v:ext="edit" aspectratio="f"/>
              <v:textbox style="mso-fit-shape-to-text:t;">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6"/>
                        <w:rFonts w:hint="eastAsia"/>
                        <w:sz w:val="18"/>
                        <w:szCs w:val="18"/>
                      </w:rPr>
                      <w:t>roe@roevisual.com</w:t>
                    </w:r>
                    <w:r>
                      <w:rPr>
                        <w:rStyle w:val="16"/>
                        <w:rFonts w:hint="eastAsia"/>
                        <w:sz w:val="18"/>
                        <w:szCs w:val="18"/>
                      </w:rPr>
                      <w:fldChar w:fldCharType="end"/>
                    </w:r>
                  </w:p>
                  <w:p>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pPr>
      <w:rPr>
        <w:sz w:val="18"/>
        <w:szCs w:val="18"/>
      </w:rPr>
    </w:pPr>
    <w:r>
      <w:rPr>
        <w:rFonts w:hint="eastAsia"/>
        <w:sz w:val="18"/>
        <w:szCs w:val="18"/>
      </w:rPr>
      <w:t>Bldg 7, Zhong Yuntai Technology</w:t>
    </w:r>
  </w:p>
  <w:p>
    <w:pPr>
      <w:rPr>
        <w:sz w:val="18"/>
        <w:szCs w:val="18"/>
      </w:rPr>
    </w:pPr>
    <w:r>
      <w:rPr>
        <w:rFonts w:hint="eastAsia"/>
        <w:sz w:val="18"/>
        <w:szCs w:val="18"/>
      </w:rPr>
      <w:t>Industrial Park, Baoan,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1773A"/>
    <w:rsid w:val="000222C3"/>
    <w:rsid w:val="000223A3"/>
    <w:rsid w:val="00023B5E"/>
    <w:rsid w:val="00026644"/>
    <w:rsid w:val="0002790C"/>
    <w:rsid w:val="00033E43"/>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3256"/>
    <w:rsid w:val="00094676"/>
    <w:rsid w:val="00097CB8"/>
    <w:rsid w:val="000A253E"/>
    <w:rsid w:val="000A2B92"/>
    <w:rsid w:val="000A31C5"/>
    <w:rsid w:val="000A3F49"/>
    <w:rsid w:val="000A4EEF"/>
    <w:rsid w:val="000A5155"/>
    <w:rsid w:val="000A5316"/>
    <w:rsid w:val="000A5341"/>
    <w:rsid w:val="000A5C21"/>
    <w:rsid w:val="000B0B9D"/>
    <w:rsid w:val="000B1FE4"/>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E7D95"/>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CB7"/>
    <w:rsid w:val="001475C5"/>
    <w:rsid w:val="00147611"/>
    <w:rsid w:val="00150C8B"/>
    <w:rsid w:val="00153B22"/>
    <w:rsid w:val="00153F0F"/>
    <w:rsid w:val="001603EA"/>
    <w:rsid w:val="001609F7"/>
    <w:rsid w:val="00160AD5"/>
    <w:rsid w:val="00163E72"/>
    <w:rsid w:val="00164085"/>
    <w:rsid w:val="00164B2B"/>
    <w:rsid w:val="001652AA"/>
    <w:rsid w:val="001666A5"/>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6222"/>
    <w:rsid w:val="00236360"/>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202"/>
    <w:rsid w:val="00274432"/>
    <w:rsid w:val="00274A72"/>
    <w:rsid w:val="00280482"/>
    <w:rsid w:val="00281EFE"/>
    <w:rsid w:val="0028302E"/>
    <w:rsid w:val="00283DC2"/>
    <w:rsid w:val="00283F27"/>
    <w:rsid w:val="00286874"/>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DEA"/>
    <w:rsid w:val="00377A10"/>
    <w:rsid w:val="003820D8"/>
    <w:rsid w:val="003841C9"/>
    <w:rsid w:val="00384B8E"/>
    <w:rsid w:val="0039020D"/>
    <w:rsid w:val="0039054E"/>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4A54"/>
    <w:rsid w:val="003F5F3F"/>
    <w:rsid w:val="003F6321"/>
    <w:rsid w:val="003F66CF"/>
    <w:rsid w:val="003F7187"/>
    <w:rsid w:val="003F7D3C"/>
    <w:rsid w:val="00400393"/>
    <w:rsid w:val="004016A0"/>
    <w:rsid w:val="00401AE1"/>
    <w:rsid w:val="00402579"/>
    <w:rsid w:val="004036B5"/>
    <w:rsid w:val="00404A88"/>
    <w:rsid w:val="00404B4B"/>
    <w:rsid w:val="0040556F"/>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5E1A"/>
    <w:rsid w:val="004565F8"/>
    <w:rsid w:val="00456E02"/>
    <w:rsid w:val="004571F2"/>
    <w:rsid w:val="00460CD1"/>
    <w:rsid w:val="004641DC"/>
    <w:rsid w:val="0046533A"/>
    <w:rsid w:val="00465363"/>
    <w:rsid w:val="00465471"/>
    <w:rsid w:val="00470772"/>
    <w:rsid w:val="0047113F"/>
    <w:rsid w:val="00472DCC"/>
    <w:rsid w:val="00476716"/>
    <w:rsid w:val="00476AE8"/>
    <w:rsid w:val="004776E3"/>
    <w:rsid w:val="00477F62"/>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3115"/>
    <w:rsid w:val="004D46B4"/>
    <w:rsid w:val="004D48FB"/>
    <w:rsid w:val="004D4A7A"/>
    <w:rsid w:val="004D4CFB"/>
    <w:rsid w:val="004D57A5"/>
    <w:rsid w:val="004D5F21"/>
    <w:rsid w:val="004D65B5"/>
    <w:rsid w:val="004E135C"/>
    <w:rsid w:val="004E244B"/>
    <w:rsid w:val="004E2FA2"/>
    <w:rsid w:val="004E488B"/>
    <w:rsid w:val="004E5339"/>
    <w:rsid w:val="004E5C96"/>
    <w:rsid w:val="004E5FBC"/>
    <w:rsid w:val="004E60DA"/>
    <w:rsid w:val="004E6F72"/>
    <w:rsid w:val="004F0FD3"/>
    <w:rsid w:val="004F1B65"/>
    <w:rsid w:val="004F1BFC"/>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02E"/>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4F10"/>
    <w:rsid w:val="005752F7"/>
    <w:rsid w:val="00576C16"/>
    <w:rsid w:val="0057715B"/>
    <w:rsid w:val="0058082E"/>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2F41"/>
    <w:rsid w:val="005C393C"/>
    <w:rsid w:val="005C4420"/>
    <w:rsid w:val="005C6E49"/>
    <w:rsid w:val="005D0352"/>
    <w:rsid w:val="005D1F69"/>
    <w:rsid w:val="005D1FEE"/>
    <w:rsid w:val="005D2FE4"/>
    <w:rsid w:val="005D4741"/>
    <w:rsid w:val="005D4E60"/>
    <w:rsid w:val="005D4EFB"/>
    <w:rsid w:val="005D578B"/>
    <w:rsid w:val="005D766D"/>
    <w:rsid w:val="005E0334"/>
    <w:rsid w:val="005E058B"/>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174A7"/>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6420"/>
    <w:rsid w:val="006665CE"/>
    <w:rsid w:val="0067064A"/>
    <w:rsid w:val="006725EA"/>
    <w:rsid w:val="00674A4F"/>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123E"/>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46A9F"/>
    <w:rsid w:val="007516C5"/>
    <w:rsid w:val="00751B67"/>
    <w:rsid w:val="0075200F"/>
    <w:rsid w:val="007526B0"/>
    <w:rsid w:val="00754146"/>
    <w:rsid w:val="0075446C"/>
    <w:rsid w:val="00754942"/>
    <w:rsid w:val="00754974"/>
    <w:rsid w:val="00755F72"/>
    <w:rsid w:val="00756648"/>
    <w:rsid w:val="00760199"/>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3B2F"/>
    <w:rsid w:val="00784690"/>
    <w:rsid w:val="0078534F"/>
    <w:rsid w:val="007856AF"/>
    <w:rsid w:val="0078633F"/>
    <w:rsid w:val="0078656F"/>
    <w:rsid w:val="00787EE3"/>
    <w:rsid w:val="007903D8"/>
    <w:rsid w:val="007909DD"/>
    <w:rsid w:val="00791D93"/>
    <w:rsid w:val="00792B2C"/>
    <w:rsid w:val="0079385B"/>
    <w:rsid w:val="007938DE"/>
    <w:rsid w:val="00794225"/>
    <w:rsid w:val="00794D52"/>
    <w:rsid w:val="00795663"/>
    <w:rsid w:val="0079623C"/>
    <w:rsid w:val="00796EEA"/>
    <w:rsid w:val="007971DC"/>
    <w:rsid w:val="007A04B1"/>
    <w:rsid w:val="007A06FD"/>
    <w:rsid w:val="007A45F4"/>
    <w:rsid w:val="007A6895"/>
    <w:rsid w:val="007A6B39"/>
    <w:rsid w:val="007B078D"/>
    <w:rsid w:val="007B318A"/>
    <w:rsid w:val="007B3AB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18FD"/>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7FD9"/>
    <w:rsid w:val="0086108E"/>
    <w:rsid w:val="00862D61"/>
    <w:rsid w:val="008636AF"/>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16A8"/>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BF6"/>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28"/>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291D"/>
    <w:rsid w:val="00B23747"/>
    <w:rsid w:val="00B238C5"/>
    <w:rsid w:val="00B25FB0"/>
    <w:rsid w:val="00B260FD"/>
    <w:rsid w:val="00B267F8"/>
    <w:rsid w:val="00B26CE5"/>
    <w:rsid w:val="00B27B42"/>
    <w:rsid w:val="00B30AAE"/>
    <w:rsid w:val="00B319AA"/>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45F95"/>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777D"/>
    <w:rsid w:val="00B67C51"/>
    <w:rsid w:val="00B7280D"/>
    <w:rsid w:val="00B72898"/>
    <w:rsid w:val="00B766C5"/>
    <w:rsid w:val="00B8048A"/>
    <w:rsid w:val="00B82A9F"/>
    <w:rsid w:val="00B83126"/>
    <w:rsid w:val="00B83BC9"/>
    <w:rsid w:val="00B85565"/>
    <w:rsid w:val="00B85DBC"/>
    <w:rsid w:val="00B8682D"/>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D7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2024"/>
    <w:rsid w:val="00BD2414"/>
    <w:rsid w:val="00BD2A4E"/>
    <w:rsid w:val="00BD353C"/>
    <w:rsid w:val="00BD3A9F"/>
    <w:rsid w:val="00BD4920"/>
    <w:rsid w:val="00BD5C61"/>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34AE"/>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2FFE"/>
    <w:rsid w:val="00CD3B98"/>
    <w:rsid w:val="00CD4275"/>
    <w:rsid w:val="00CD4BE9"/>
    <w:rsid w:val="00CD57CE"/>
    <w:rsid w:val="00CD5B14"/>
    <w:rsid w:val="00CE39FA"/>
    <w:rsid w:val="00CE3A7D"/>
    <w:rsid w:val="00CE6242"/>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6AB1"/>
    <w:rsid w:val="00D47A89"/>
    <w:rsid w:val="00D53B9D"/>
    <w:rsid w:val="00D5485D"/>
    <w:rsid w:val="00D550C0"/>
    <w:rsid w:val="00D555E9"/>
    <w:rsid w:val="00D55EB5"/>
    <w:rsid w:val="00D56372"/>
    <w:rsid w:val="00D573FC"/>
    <w:rsid w:val="00D579E7"/>
    <w:rsid w:val="00D60399"/>
    <w:rsid w:val="00D61F0B"/>
    <w:rsid w:val="00D6206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358A"/>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2E7"/>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0B41"/>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1DB7ED5"/>
    <w:rsid w:val="02A62291"/>
    <w:rsid w:val="035C7400"/>
    <w:rsid w:val="03885E3A"/>
    <w:rsid w:val="03A21FC3"/>
    <w:rsid w:val="03AB64D0"/>
    <w:rsid w:val="03B24C65"/>
    <w:rsid w:val="03CF143F"/>
    <w:rsid w:val="03F37AB5"/>
    <w:rsid w:val="04654848"/>
    <w:rsid w:val="07975B80"/>
    <w:rsid w:val="08F17FDE"/>
    <w:rsid w:val="09A45050"/>
    <w:rsid w:val="0A002BCE"/>
    <w:rsid w:val="0A2C043F"/>
    <w:rsid w:val="0B332B30"/>
    <w:rsid w:val="0B352EC2"/>
    <w:rsid w:val="0B550CF8"/>
    <w:rsid w:val="0B7D3DAB"/>
    <w:rsid w:val="0B80646A"/>
    <w:rsid w:val="0B9F3D21"/>
    <w:rsid w:val="0BEF4CA9"/>
    <w:rsid w:val="0C5B5B19"/>
    <w:rsid w:val="0C5F0276"/>
    <w:rsid w:val="0D004C93"/>
    <w:rsid w:val="0D3C5EDA"/>
    <w:rsid w:val="0E19425F"/>
    <w:rsid w:val="0E7E3E33"/>
    <w:rsid w:val="0E924011"/>
    <w:rsid w:val="0EBF7ACB"/>
    <w:rsid w:val="0EDF5F13"/>
    <w:rsid w:val="0F5E7B4C"/>
    <w:rsid w:val="0FFE195E"/>
    <w:rsid w:val="10D10E21"/>
    <w:rsid w:val="10D5022E"/>
    <w:rsid w:val="11081437"/>
    <w:rsid w:val="129117F0"/>
    <w:rsid w:val="12957C2C"/>
    <w:rsid w:val="14072D17"/>
    <w:rsid w:val="14333BA0"/>
    <w:rsid w:val="145F3F63"/>
    <w:rsid w:val="14BC3B96"/>
    <w:rsid w:val="14C01423"/>
    <w:rsid w:val="15804BC3"/>
    <w:rsid w:val="158A67D1"/>
    <w:rsid w:val="158F4E06"/>
    <w:rsid w:val="15EB4733"/>
    <w:rsid w:val="164C5177"/>
    <w:rsid w:val="16513DFF"/>
    <w:rsid w:val="16730284"/>
    <w:rsid w:val="16A86180"/>
    <w:rsid w:val="1723614E"/>
    <w:rsid w:val="17451C21"/>
    <w:rsid w:val="17487963"/>
    <w:rsid w:val="180B683E"/>
    <w:rsid w:val="183D4FEE"/>
    <w:rsid w:val="18BE3C59"/>
    <w:rsid w:val="192D0BBE"/>
    <w:rsid w:val="194859F8"/>
    <w:rsid w:val="198A6011"/>
    <w:rsid w:val="19B26479"/>
    <w:rsid w:val="19BD63E6"/>
    <w:rsid w:val="19F93196"/>
    <w:rsid w:val="1A872550"/>
    <w:rsid w:val="1B09565B"/>
    <w:rsid w:val="1B571712"/>
    <w:rsid w:val="1B854787"/>
    <w:rsid w:val="1C0E117B"/>
    <w:rsid w:val="1C1B3898"/>
    <w:rsid w:val="1C4306F9"/>
    <w:rsid w:val="1CB12000"/>
    <w:rsid w:val="1D444728"/>
    <w:rsid w:val="1D473592"/>
    <w:rsid w:val="1D6A0633"/>
    <w:rsid w:val="1DF06690"/>
    <w:rsid w:val="1EF073CF"/>
    <w:rsid w:val="1F1008FA"/>
    <w:rsid w:val="20340A84"/>
    <w:rsid w:val="20AC0F62"/>
    <w:rsid w:val="20E57FD0"/>
    <w:rsid w:val="21091F11"/>
    <w:rsid w:val="211D3C0E"/>
    <w:rsid w:val="21515666"/>
    <w:rsid w:val="217D46AD"/>
    <w:rsid w:val="21937BD3"/>
    <w:rsid w:val="221E7C3E"/>
    <w:rsid w:val="22851A6B"/>
    <w:rsid w:val="22890142"/>
    <w:rsid w:val="22AB304E"/>
    <w:rsid w:val="2406098A"/>
    <w:rsid w:val="24A618AA"/>
    <w:rsid w:val="25072C0B"/>
    <w:rsid w:val="2545582F"/>
    <w:rsid w:val="25600337"/>
    <w:rsid w:val="25A9301A"/>
    <w:rsid w:val="263E265D"/>
    <w:rsid w:val="26BB5A5B"/>
    <w:rsid w:val="27007912"/>
    <w:rsid w:val="277976C4"/>
    <w:rsid w:val="27C43035"/>
    <w:rsid w:val="27FA6A57"/>
    <w:rsid w:val="284657F9"/>
    <w:rsid w:val="28BF4CB0"/>
    <w:rsid w:val="290563D8"/>
    <w:rsid w:val="290F6532"/>
    <w:rsid w:val="29172227"/>
    <w:rsid w:val="2A5B5BD4"/>
    <w:rsid w:val="2B004385"/>
    <w:rsid w:val="2B3C2EE3"/>
    <w:rsid w:val="2B512E32"/>
    <w:rsid w:val="2BBB474F"/>
    <w:rsid w:val="2BC96E6C"/>
    <w:rsid w:val="2CA90257"/>
    <w:rsid w:val="2CBE5EB7"/>
    <w:rsid w:val="2D256324"/>
    <w:rsid w:val="2D727090"/>
    <w:rsid w:val="2D761431"/>
    <w:rsid w:val="2E734E6D"/>
    <w:rsid w:val="2EEA7450"/>
    <w:rsid w:val="2F2E6FE6"/>
    <w:rsid w:val="2F436F36"/>
    <w:rsid w:val="2FA06CBB"/>
    <w:rsid w:val="2FC02334"/>
    <w:rsid w:val="303A20E7"/>
    <w:rsid w:val="304C1E1A"/>
    <w:rsid w:val="305D5DD5"/>
    <w:rsid w:val="30C3032E"/>
    <w:rsid w:val="31880C30"/>
    <w:rsid w:val="31C134EE"/>
    <w:rsid w:val="320504D2"/>
    <w:rsid w:val="32063987"/>
    <w:rsid w:val="325F4087"/>
    <w:rsid w:val="32655415"/>
    <w:rsid w:val="3283448B"/>
    <w:rsid w:val="32886F74"/>
    <w:rsid w:val="328D33FB"/>
    <w:rsid w:val="32D54349"/>
    <w:rsid w:val="33517E72"/>
    <w:rsid w:val="3369683F"/>
    <w:rsid w:val="33DC5263"/>
    <w:rsid w:val="34050C5E"/>
    <w:rsid w:val="3475127C"/>
    <w:rsid w:val="35393FDB"/>
    <w:rsid w:val="35930135"/>
    <w:rsid w:val="365C268B"/>
    <w:rsid w:val="3676199F"/>
    <w:rsid w:val="36CF381D"/>
    <w:rsid w:val="37164F30"/>
    <w:rsid w:val="39002C48"/>
    <w:rsid w:val="391D25A6"/>
    <w:rsid w:val="39754190"/>
    <w:rsid w:val="397843D5"/>
    <w:rsid w:val="39A20BE3"/>
    <w:rsid w:val="3A6A35C8"/>
    <w:rsid w:val="3A7C11F1"/>
    <w:rsid w:val="3ADC5AE1"/>
    <w:rsid w:val="3AED390C"/>
    <w:rsid w:val="3B11613A"/>
    <w:rsid w:val="3B950B19"/>
    <w:rsid w:val="3B99768F"/>
    <w:rsid w:val="3C003E02"/>
    <w:rsid w:val="3C5A58BF"/>
    <w:rsid w:val="3C5A766D"/>
    <w:rsid w:val="3C774783"/>
    <w:rsid w:val="3CF339F5"/>
    <w:rsid w:val="3D112CD6"/>
    <w:rsid w:val="3D232155"/>
    <w:rsid w:val="3D885135"/>
    <w:rsid w:val="3DA83259"/>
    <w:rsid w:val="3ECE3F45"/>
    <w:rsid w:val="3EE2453F"/>
    <w:rsid w:val="3F066328"/>
    <w:rsid w:val="3F3F933B"/>
    <w:rsid w:val="3F4D5267"/>
    <w:rsid w:val="40A37F40"/>
    <w:rsid w:val="41CA71DA"/>
    <w:rsid w:val="41DB1250"/>
    <w:rsid w:val="42092064"/>
    <w:rsid w:val="42554F47"/>
    <w:rsid w:val="43DB4131"/>
    <w:rsid w:val="441C5213"/>
    <w:rsid w:val="446C618F"/>
    <w:rsid w:val="44A54BF3"/>
    <w:rsid w:val="44AF1C54"/>
    <w:rsid w:val="44E43BD2"/>
    <w:rsid w:val="451E392D"/>
    <w:rsid w:val="45EC715D"/>
    <w:rsid w:val="46535859"/>
    <w:rsid w:val="47AA1CA0"/>
    <w:rsid w:val="480A63EB"/>
    <w:rsid w:val="483F67DB"/>
    <w:rsid w:val="484A762B"/>
    <w:rsid w:val="48A91760"/>
    <w:rsid w:val="48BF0F83"/>
    <w:rsid w:val="4946021E"/>
    <w:rsid w:val="495E40CF"/>
    <w:rsid w:val="499C7517"/>
    <w:rsid w:val="49B91E77"/>
    <w:rsid w:val="49D203C7"/>
    <w:rsid w:val="49DF43B4"/>
    <w:rsid w:val="4A0B6C59"/>
    <w:rsid w:val="4A761B16"/>
    <w:rsid w:val="4A9B5A20"/>
    <w:rsid w:val="4AA424DC"/>
    <w:rsid w:val="4B111663"/>
    <w:rsid w:val="4B7F2C4C"/>
    <w:rsid w:val="4C40062D"/>
    <w:rsid w:val="4D754219"/>
    <w:rsid w:val="4EEE524A"/>
    <w:rsid w:val="4F310701"/>
    <w:rsid w:val="4FA9473B"/>
    <w:rsid w:val="50591CBD"/>
    <w:rsid w:val="50DE21C3"/>
    <w:rsid w:val="52AC189A"/>
    <w:rsid w:val="52DF4FC6"/>
    <w:rsid w:val="53472579"/>
    <w:rsid w:val="53803A05"/>
    <w:rsid w:val="54120B01"/>
    <w:rsid w:val="542B2140"/>
    <w:rsid w:val="54E12281"/>
    <w:rsid w:val="54E83610"/>
    <w:rsid w:val="55951E4D"/>
    <w:rsid w:val="56446F6C"/>
    <w:rsid w:val="566B3165"/>
    <w:rsid w:val="568D446F"/>
    <w:rsid w:val="56F42740"/>
    <w:rsid w:val="570606C5"/>
    <w:rsid w:val="57266671"/>
    <w:rsid w:val="57691F00"/>
    <w:rsid w:val="576C10E8"/>
    <w:rsid w:val="580469B3"/>
    <w:rsid w:val="58384463"/>
    <w:rsid w:val="59C4289D"/>
    <w:rsid w:val="59FB55E7"/>
    <w:rsid w:val="5A386DE8"/>
    <w:rsid w:val="5A596966"/>
    <w:rsid w:val="5B9938B6"/>
    <w:rsid w:val="5C084598"/>
    <w:rsid w:val="5C2238AB"/>
    <w:rsid w:val="5CFF3BED"/>
    <w:rsid w:val="5D175FB6"/>
    <w:rsid w:val="5D5C103F"/>
    <w:rsid w:val="5DFA38AA"/>
    <w:rsid w:val="5E341674"/>
    <w:rsid w:val="5E554513"/>
    <w:rsid w:val="5E761C8C"/>
    <w:rsid w:val="5EE74938"/>
    <w:rsid w:val="5F7A7313"/>
    <w:rsid w:val="5F950838"/>
    <w:rsid w:val="604F1B81"/>
    <w:rsid w:val="60DB04CD"/>
    <w:rsid w:val="611C42B6"/>
    <w:rsid w:val="61307E05"/>
    <w:rsid w:val="61783F6D"/>
    <w:rsid w:val="63750765"/>
    <w:rsid w:val="64540CC2"/>
    <w:rsid w:val="64836EB1"/>
    <w:rsid w:val="648F1314"/>
    <w:rsid w:val="64F8164D"/>
    <w:rsid w:val="65534AD5"/>
    <w:rsid w:val="65624D19"/>
    <w:rsid w:val="65DF066E"/>
    <w:rsid w:val="662E553C"/>
    <w:rsid w:val="66901BDD"/>
    <w:rsid w:val="66FF9419"/>
    <w:rsid w:val="671B7875"/>
    <w:rsid w:val="6725019F"/>
    <w:rsid w:val="675E59B4"/>
    <w:rsid w:val="676034DA"/>
    <w:rsid w:val="676236F6"/>
    <w:rsid w:val="67784CC7"/>
    <w:rsid w:val="69124CA8"/>
    <w:rsid w:val="69790883"/>
    <w:rsid w:val="69931944"/>
    <w:rsid w:val="69D960E1"/>
    <w:rsid w:val="6A1762E7"/>
    <w:rsid w:val="6A721EA2"/>
    <w:rsid w:val="6A880666"/>
    <w:rsid w:val="6AAF0A00"/>
    <w:rsid w:val="6B6643D7"/>
    <w:rsid w:val="6BC04355"/>
    <w:rsid w:val="6BC57C94"/>
    <w:rsid w:val="6BF6440D"/>
    <w:rsid w:val="6C5775A1"/>
    <w:rsid w:val="6C8C365D"/>
    <w:rsid w:val="6C8D4D71"/>
    <w:rsid w:val="6D370472"/>
    <w:rsid w:val="6E421B8B"/>
    <w:rsid w:val="6E623FDB"/>
    <w:rsid w:val="6EDF73DA"/>
    <w:rsid w:val="6FBB311B"/>
    <w:rsid w:val="6FC00FB9"/>
    <w:rsid w:val="707B4C5A"/>
    <w:rsid w:val="70AE54CB"/>
    <w:rsid w:val="70CE7706"/>
    <w:rsid w:val="71121CE9"/>
    <w:rsid w:val="715765B2"/>
    <w:rsid w:val="71883D59"/>
    <w:rsid w:val="719F34DB"/>
    <w:rsid w:val="71DE7E1D"/>
    <w:rsid w:val="720F0BB7"/>
    <w:rsid w:val="7219638B"/>
    <w:rsid w:val="727B1B10"/>
    <w:rsid w:val="727D7636"/>
    <w:rsid w:val="72A9042B"/>
    <w:rsid w:val="72D059B7"/>
    <w:rsid w:val="72E81342"/>
    <w:rsid w:val="73E55492"/>
    <w:rsid w:val="742D5A28"/>
    <w:rsid w:val="75530B22"/>
    <w:rsid w:val="758D5DE2"/>
    <w:rsid w:val="75B23A9A"/>
    <w:rsid w:val="75DE488F"/>
    <w:rsid w:val="7682121E"/>
    <w:rsid w:val="76A553AD"/>
    <w:rsid w:val="77CD148C"/>
    <w:rsid w:val="77E9E1D4"/>
    <w:rsid w:val="78F817C4"/>
    <w:rsid w:val="79103E0A"/>
    <w:rsid w:val="796055BB"/>
    <w:rsid w:val="79CC49FF"/>
    <w:rsid w:val="79DF2984"/>
    <w:rsid w:val="7A666C01"/>
    <w:rsid w:val="7B8E4662"/>
    <w:rsid w:val="7BC2051E"/>
    <w:rsid w:val="7BC73045"/>
    <w:rsid w:val="7BE40725"/>
    <w:rsid w:val="7C9C2DAE"/>
    <w:rsid w:val="7CBC0D5A"/>
    <w:rsid w:val="7CC320E9"/>
    <w:rsid w:val="7CE65DD7"/>
    <w:rsid w:val="7DE22A43"/>
    <w:rsid w:val="7DE75736"/>
    <w:rsid w:val="7DF44C63"/>
    <w:rsid w:val="7DFEEFFF"/>
    <w:rsid w:val="7DFFCF27"/>
    <w:rsid w:val="7E1C5F55"/>
    <w:rsid w:val="7E292420"/>
    <w:rsid w:val="7E611BB9"/>
    <w:rsid w:val="7E773492"/>
    <w:rsid w:val="7E890F07"/>
    <w:rsid w:val="7E8B6C36"/>
    <w:rsid w:val="7EA30424"/>
    <w:rsid w:val="7F0309E2"/>
    <w:rsid w:val="7F0864D9"/>
    <w:rsid w:val="7F17671C"/>
    <w:rsid w:val="7F286B7B"/>
    <w:rsid w:val="7F9A1827"/>
    <w:rsid w:val="7FBA7941"/>
    <w:rsid w:val="7FC44AF6"/>
    <w:rsid w:val="7FC71EF0"/>
    <w:rsid w:val="8F9D2A62"/>
    <w:rsid w:val="A7FEC49F"/>
    <w:rsid w:val="B2AD4AB8"/>
    <w:rsid w:val="BB4F4225"/>
    <w:rsid w:val="BD3D25F0"/>
    <w:rsid w:val="CE832829"/>
    <w:rsid w:val="CFCFCBE7"/>
    <w:rsid w:val="D2FDA21A"/>
    <w:rsid w:val="DBFF1324"/>
    <w:rsid w:val="DD6EBA37"/>
    <w:rsid w:val="DEFBC360"/>
    <w:rsid w:val="DFFFC657"/>
    <w:rsid w:val="ED98677A"/>
    <w:rsid w:val="F5D37CED"/>
    <w:rsid w:val="F7AD7986"/>
    <w:rsid w:val="F97B7540"/>
    <w:rsid w:val="F9FDD326"/>
    <w:rsid w:val="FBF74EAB"/>
    <w:rsid w:val="FEFBC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SimHei"/>
      <w:kern w:val="2"/>
      <w:sz w:val="21"/>
      <w:szCs w:val="22"/>
      <w:lang w:val="en-US" w:eastAsia="zh-CN" w:bidi="ar-SA"/>
    </w:rPr>
  </w:style>
  <w:style w:type="paragraph" w:styleId="2">
    <w:name w:val="heading 1"/>
    <w:basedOn w:val="1"/>
    <w:next w:val="1"/>
    <w:link w:val="29"/>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32"/>
    <w:semiHidden/>
    <w:unhideWhenUsed/>
    <w:qFormat/>
    <w:uiPriority w:val="9"/>
    <w:pPr>
      <w:keepNext/>
      <w:keepLines/>
      <w:spacing w:before="280" w:after="290" w:line="376" w:lineRule="auto"/>
      <w:outlineLvl w:val="3"/>
    </w:pPr>
    <w:rPr>
      <w:rFonts w:ascii="DengXian Light" w:hAnsi="DengXian Light" w:eastAsia="DengXian Light" w:cs="Times New Roman"/>
      <w:b/>
      <w:bCs/>
      <w:sz w:val="28"/>
      <w:szCs w:val="28"/>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22"/>
    <w:qFormat/>
    <w:uiPriority w:val="0"/>
    <w:rPr>
      <w:rFonts w:ascii="Times New Roman" w:hAnsi="Times New Roman" w:cs="Times New Roman"/>
      <w:kern w:val="0"/>
      <w:sz w:val="18"/>
      <w:szCs w:val="18"/>
    </w:rPr>
  </w:style>
  <w:style w:type="character" w:styleId="8">
    <w:name w:val="annotation reference"/>
    <w:semiHidden/>
    <w:unhideWhenUsed/>
    <w:qFormat/>
    <w:uiPriority w:val="99"/>
    <w:rPr>
      <w:sz w:val="21"/>
      <w:szCs w:val="21"/>
    </w:rPr>
  </w:style>
  <w:style w:type="paragraph" w:styleId="9">
    <w:name w:val="annotation text"/>
    <w:basedOn w:val="1"/>
    <w:link w:val="30"/>
    <w:qFormat/>
    <w:uiPriority w:val="0"/>
    <w:pPr>
      <w:jc w:val="left"/>
    </w:pPr>
  </w:style>
  <w:style w:type="paragraph" w:styleId="10">
    <w:name w:val="annotation subject"/>
    <w:basedOn w:val="9"/>
    <w:next w:val="9"/>
    <w:link w:val="31"/>
    <w:semiHidden/>
    <w:unhideWhenUsed/>
    <w:qFormat/>
    <w:uiPriority w:val="99"/>
    <w:rPr>
      <w:b/>
      <w:bCs/>
    </w:rPr>
  </w:style>
  <w:style w:type="paragraph" w:styleId="11">
    <w:name w:val="Date"/>
    <w:basedOn w:val="1"/>
    <w:next w:val="1"/>
    <w:link w:val="26"/>
    <w:unhideWhenUsed/>
    <w:qFormat/>
    <w:uiPriority w:val="99"/>
    <w:pPr>
      <w:ind w:left="100" w:leftChars="2500"/>
    </w:pPr>
    <w:rPr>
      <w:rFonts w:cs="Times New Roman"/>
    </w:rPr>
  </w:style>
  <w:style w:type="character" w:styleId="12">
    <w:name w:val="Emphasis"/>
    <w:basedOn w:val="5"/>
    <w:qFormat/>
    <w:uiPriority w:val="20"/>
    <w:rPr>
      <w:i/>
      <w:iCs/>
    </w:rPr>
  </w:style>
  <w:style w:type="character" w:styleId="13">
    <w:name w:val="FollowedHyperlink"/>
    <w:basedOn w:val="5"/>
    <w:semiHidden/>
    <w:unhideWhenUsed/>
    <w:qFormat/>
    <w:uiPriority w:val="99"/>
    <w:rPr>
      <w:color w:val="954F72" w:themeColor="followedHyperlink"/>
      <w:u w:val="single"/>
      <w14:textFill>
        <w14:solidFill>
          <w14:schemeClr w14:val="folHlink"/>
        </w14:solidFill>
      </w14:textFill>
    </w:rPr>
  </w:style>
  <w:style w:type="paragraph" w:styleId="14">
    <w:name w:val="footer"/>
    <w:basedOn w:val="1"/>
    <w:link w:val="23"/>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5">
    <w:name w:val="header"/>
    <w:basedOn w:val="1"/>
    <w:link w:val="25"/>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character" w:styleId="16">
    <w:name w:val="Hyperlink"/>
    <w:unhideWhenUsed/>
    <w:qFormat/>
    <w:uiPriority w:val="99"/>
    <w:rPr>
      <w:color w:val="0000FF"/>
      <w:u w:val="single"/>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8">
    <w:name w:val="Strong"/>
    <w:basedOn w:val="5"/>
    <w:qFormat/>
    <w:uiPriority w:val="22"/>
    <w:rPr>
      <w:b/>
      <w:bCs/>
    </w:rPr>
  </w:style>
  <w:style w:type="table" w:styleId="19">
    <w:name w:val="Table Grid"/>
    <w:basedOn w:val="6"/>
    <w:qFormat/>
    <w:uiPriority w:val="39"/>
    <w:rPr>
      <w:rFonts w:ascii="DengXian" w:hAnsi="DengXian" w:eastAsia="DengXian"/>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Title"/>
    <w:basedOn w:val="1"/>
    <w:next w:val="1"/>
    <w:link w:val="28"/>
    <w:qFormat/>
    <w:uiPriority w:val="10"/>
    <w:pPr>
      <w:spacing w:before="240" w:after="60"/>
      <w:jc w:val="center"/>
      <w:outlineLvl w:val="0"/>
    </w:pPr>
    <w:rPr>
      <w:rFonts w:ascii="DengXian Light" w:hAnsi="DengXian Light" w:eastAsia="DengXian Light" w:cs="Times New Roman"/>
      <w:b/>
      <w:bCs/>
      <w:sz w:val="32"/>
      <w:szCs w:val="32"/>
    </w:rPr>
  </w:style>
  <w:style w:type="character" w:customStyle="1" w:styleId="21">
    <w:name w:val="t_tag"/>
    <w:basedOn w:val="5"/>
    <w:qFormat/>
    <w:uiPriority w:val="0"/>
  </w:style>
  <w:style w:type="character" w:customStyle="1" w:styleId="22">
    <w:name w:val="Balloon Text Char"/>
    <w:link w:val="7"/>
    <w:qFormat/>
    <w:uiPriority w:val="0"/>
    <w:rPr>
      <w:sz w:val="18"/>
      <w:szCs w:val="18"/>
    </w:rPr>
  </w:style>
  <w:style w:type="character" w:customStyle="1" w:styleId="23">
    <w:name w:val="Footer Char"/>
    <w:link w:val="14"/>
    <w:qFormat/>
    <w:uiPriority w:val="0"/>
    <w:rPr>
      <w:sz w:val="18"/>
      <w:szCs w:val="18"/>
    </w:rPr>
  </w:style>
  <w:style w:type="character" w:customStyle="1" w:styleId="24">
    <w:name w:val="未处理的提及1"/>
    <w:unhideWhenUsed/>
    <w:qFormat/>
    <w:uiPriority w:val="99"/>
    <w:rPr>
      <w:color w:val="605E5C"/>
      <w:shd w:val="clear" w:color="auto" w:fill="E1DFDD"/>
    </w:rPr>
  </w:style>
  <w:style w:type="character" w:customStyle="1" w:styleId="25">
    <w:name w:val="Header Char"/>
    <w:link w:val="15"/>
    <w:qFormat/>
    <w:uiPriority w:val="0"/>
    <w:rPr>
      <w:sz w:val="18"/>
      <w:szCs w:val="18"/>
    </w:rPr>
  </w:style>
  <w:style w:type="character" w:customStyle="1" w:styleId="26">
    <w:name w:val="Date Char"/>
    <w:link w:val="11"/>
    <w:semiHidden/>
    <w:qFormat/>
    <w:uiPriority w:val="99"/>
    <w:rPr>
      <w:rFonts w:ascii="Calibri" w:hAnsi="Calibri" w:cs="SimHei"/>
      <w:kern w:val="2"/>
      <w:sz w:val="21"/>
      <w:szCs w:val="22"/>
    </w:rPr>
  </w:style>
  <w:style w:type="paragraph" w:customStyle="1" w:styleId="27">
    <w:name w:val="List Paragraph1"/>
    <w:basedOn w:val="1"/>
    <w:qFormat/>
    <w:uiPriority w:val="0"/>
    <w:pPr>
      <w:ind w:firstLine="420" w:firstLineChars="200"/>
    </w:pPr>
  </w:style>
  <w:style w:type="character" w:customStyle="1" w:styleId="28">
    <w:name w:val="Title Char"/>
    <w:link w:val="20"/>
    <w:qFormat/>
    <w:uiPriority w:val="10"/>
    <w:rPr>
      <w:rFonts w:ascii="DengXian Light" w:hAnsi="DengXian Light" w:eastAsia="DengXian Light"/>
      <w:b/>
      <w:bCs/>
      <w:kern w:val="2"/>
      <w:sz w:val="32"/>
      <w:szCs w:val="32"/>
    </w:rPr>
  </w:style>
  <w:style w:type="character" w:customStyle="1" w:styleId="29">
    <w:name w:val="Heading 1 Char"/>
    <w:link w:val="2"/>
    <w:qFormat/>
    <w:uiPriority w:val="9"/>
    <w:rPr>
      <w:rFonts w:ascii="宋体" w:hAnsi="宋体" w:cs="宋体"/>
      <w:b/>
      <w:bCs/>
      <w:kern w:val="36"/>
      <w:sz w:val="48"/>
      <w:szCs w:val="48"/>
    </w:rPr>
  </w:style>
  <w:style w:type="character" w:customStyle="1" w:styleId="30">
    <w:name w:val="Comment Text Char"/>
    <w:link w:val="9"/>
    <w:qFormat/>
    <w:uiPriority w:val="0"/>
    <w:rPr>
      <w:rFonts w:ascii="Calibri" w:hAnsi="Calibri" w:cs="SimHei"/>
      <w:kern w:val="2"/>
      <w:sz w:val="21"/>
      <w:szCs w:val="22"/>
    </w:rPr>
  </w:style>
  <w:style w:type="character" w:customStyle="1" w:styleId="31">
    <w:name w:val="Comment Subject Char"/>
    <w:link w:val="10"/>
    <w:semiHidden/>
    <w:qFormat/>
    <w:uiPriority w:val="99"/>
    <w:rPr>
      <w:rFonts w:ascii="Calibri" w:hAnsi="Calibri" w:cs="SimHei"/>
      <w:b/>
      <w:bCs/>
      <w:kern w:val="2"/>
      <w:sz w:val="21"/>
      <w:szCs w:val="22"/>
    </w:rPr>
  </w:style>
  <w:style w:type="character" w:customStyle="1" w:styleId="32">
    <w:name w:val="Heading 4 Char"/>
    <w:link w:val="4"/>
    <w:semiHidden/>
    <w:qFormat/>
    <w:uiPriority w:val="9"/>
    <w:rPr>
      <w:rFonts w:ascii="DengXian Light" w:hAnsi="DengXian Light" w:eastAsia="DengXian Light" w:cs="Times New Roman"/>
      <w:b/>
      <w:bCs/>
      <w:kern w:val="2"/>
      <w:sz w:val="28"/>
      <w:szCs w:val="28"/>
    </w:rPr>
  </w:style>
  <w:style w:type="paragraph" w:customStyle="1" w:styleId="33">
    <w:name w:val="修订1"/>
    <w:hidden/>
    <w:unhideWhenUsed/>
    <w:qFormat/>
    <w:uiPriority w:val="99"/>
    <w:rPr>
      <w:rFonts w:ascii="Calibri" w:hAnsi="Calibri" w:eastAsia="宋体" w:cs="SimHei"/>
      <w:kern w:val="2"/>
      <w:sz w:val="21"/>
      <w:szCs w:val="22"/>
      <w:lang w:val="en-US" w:eastAsia="zh-CN" w:bidi="ar-SA"/>
    </w:rPr>
  </w:style>
  <w:style w:type="character" w:customStyle="1" w:styleId="34">
    <w:name w:val="未处理的提及2"/>
    <w:basedOn w:val="5"/>
    <w:qFormat/>
    <w:uiPriority w:val="99"/>
    <w:rPr>
      <w:color w:val="605E5C"/>
      <w:shd w:val="clear" w:color="auto" w:fill="E1DFDD"/>
    </w:rPr>
  </w:style>
  <w:style w:type="paragraph" w:customStyle="1" w:styleId="35">
    <w:name w:val="修订2"/>
    <w:hidden/>
    <w:semiHidden/>
    <w:qFormat/>
    <w:uiPriority w:val="99"/>
    <w:rPr>
      <w:rFonts w:ascii="Calibri" w:hAnsi="Calibri" w:eastAsia="宋体" w:cs="SimHei"/>
      <w:kern w:val="2"/>
      <w:sz w:val="21"/>
      <w:szCs w:val="22"/>
      <w:lang w:val="en-US" w:eastAsia="zh-CN" w:bidi="ar-SA"/>
    </w:rPr>
  </w:style>
  <w:style w:type="character" w:customStyle="1" w:styleId="36">
    <w:name w:val="Heading 2 Char"/>
    <w:basedOn w:val="5"/>
    <w:link w:val="3"/>
    <w:semiHidden/>
    <w:qFormat/>
    <w:uiPriority w:val="9"/>
    <w:rPr>
      <w:rFonts w:asciiTheme="majorHAnsi" w:hAnsiTheme="majorHAnsi" w:eastAsiaTheme="majorEastAsia" w:cstheme="majorBidi"/>
      <w:b/>
      <w:bCs/>
      <w:kern w:val="2"/>
      <w:sz w:val="32"/>
      <w:szCs w:val="32"/>
    </w:rPr>
  </w:style>
  <w:style w:type="paragraph" w:styleId="37">
    <w:name w:val="No Spacing"/>
    <w:qFormat/>
    <w:uiPriority w:val="1"/>
    <w:rPr>
      <w:rFonts w:ascii="Arial" w:hAnsi="Arial" w:eastAsia="Arial" w:cs="Times New Roman"/>
      <w:lang w:val="en-GB" w:eastAsia="en-GB" w:bidi="ar-SA"/>
    </w:rPr>
  </w:style>
  <w:style w:type="paragraph" w:styleId="38">
    <w:name w:val="List Paragraph"/>
    <w:basedOn w:val="1"/>
    <w:qFormat/>
    <w:uiPriority w:val="99"/>
    <w:pPr>
      <w:ind w:firstLine="420" w:firstLineChars="200"/>
    </w:pPr>
  </w:style>
  <w:style w:type="character" w:customStyle="1" w:styleId="39">
    <w:name w:val="rte-color-snapdragon-red"/>
    <w:basedOn w:val="5"/>
    <w:qFormat/>
    <w:uiPriority w:val="0"/>
  </w:style>
  <w:style w:type="character" w:customStyle="1" w:styleId="40">
    <w:name w:val="break-words"/>
    <w:basedOn w:val="5"/>
    <w:qFormat/>
    <w:uiPriority w:val="0"/>
  </w:style>
  <w:style w:type="character" w:customStyle="1" w:styleId="41">
    <w:name w:val="white-space-pre"/>
    <w:basedOn w:val="5"/>
    <w:qFormat/>
    <w:uiPriority w:val="0"/>
  </w:style>
  <w:style w:type="character" w:customStyle="1" w:styleId="42">
    <w:name w:val="visually-hidden"/>
    <w:basedOn w:val="5"/>
    <w:qFormat/>
    <w:uiPriority w:val="0"/>
  </w:style>
  <w:style w:type="paragraph" w:customStyle="1" w:styleId="43">
    <w:name w:val="Revision"/>
    <w:hidden/>
    <w:unhideWhenUsed/>
    <w:qFormat/>
    <w:uiPriority w:val="99"/>
    <w:rPr>
      <w:rFonts w:ascii="Calibri" w:hAnsi="Calibri" w:eastAsia="宋体" w:cs="SimHe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3</Pages>
  <Words>539</Words>
  <Characters>3076</Characters>
  <Lines>25</Lines>
  <Paragraphs>7</Paragraphs>
  <TotalTime>1</TotalTime>
  <ScaleCrop>false</ScaleCrop>
  <LinksUpToDate>false</LinksUpToDate>
  <CharactersWithSpaces>3608</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2024-09-20T15:45:00Z</dcterms:created>
  <dc:creator>微软用户</dc:creator>
  <cp:lastModifiedBy>Kathy, 夏思思</cp:lastModifiedBy>
  <cp:lastPrinted>2024-09-20T15:45:00Z</cp:lastPrinted>
  <dcterms:modified xsi:type="dcterms:W3CDTF">2024-09-22T16:38:23Z</dcterms:modified>
  <dc:title>微软用户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1033-5.5.1.7991</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CA8685C3C2E5EE0E16C1E466C1C0C177_43</vt:lpwstr>
  </property>
</Properties>
</file>